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8A417B">
      <w:pPr>
        <w:rPr>
          <w:rFonts w:hint="eastAsia" w:asciiTheme="majorEastAsia" w:hAnsiTheme="majorEastAsia" w:eastAsiaTheme="majorEastAsia" w:cstheme="majorEastAsia"/>
          <w:sz w:val="48"/>
          <w:szCs w:val="48"/>
        </w:rPr>
      </w:pPr>
    </w:p>
    <w:p w14:paraId="749D3DA9">
      <w:pPr>
        <w:rPr>
          <w:rFonts w:hint="eastAsia" w:asciiTheme="majorEastAsia" w:hAnsiTheme="majorEastAsia" w:eastAsiaTheme="majorEastAsia" w:cstheme="majorEastAsia"/>
          <w:sz w:val="48"/>
          <w:szCs w:val="48"/>
        </w:rPr>
      </w:pPr>
    </w:p>
    <w:p w14:paraId="608E1024">
      <w:pPr>
        <w:rPr>
          <w:rFonts w:hint="eastAsia" w:asciiTheme="majorEastAsia" w:hAnsiTheme="majorEastAsia" w:eastAsiaTheme="majorEastAsia" w:cstheme="majorEastAsia"/>
          <w:sz w:val="48"/>
          <w:szCs w:val="48"/>
        </w:rPr>
      </w:pPr>
    </w:p>
    <w:p w14:paraId="6490CE57">
      <w:pPr>
        <w:rPr>
          <w:rFonts w:hint="eastAsia" w:asciiTheme="majorEastAsia" w:hAnsiTheme="majorEastAsia" w:eastAsiaTheme="majorEastAsia" w:cstheme="majorEastAsia"/>
          <w:sz w:val="48"/>
          <w:szCs w:val="48"/>
        </w:rPr>
      </w:pPr>
    </w:p>
    <w:p w14:paraId="10B977C2">
      <w:pPr>
        <w:jc w:val="center"/>
        <w:rPr>
          <w:rFonts w:hint="eastAsia" w:asciiTheme="majorEastAsia" w:hAnsiTheme="majorEastAsia" w:eastAsiaTheme="majorEastAsia" w:cstheme="majorEastAsia"/>
          <w:b/>
          <w:bCs/>
          <w:sz w:val="48"/>
          <w:szCs w:val="48"/>
        </w:rPr>
      </w:pPr>
    </w:p>
    <w:p w14:paraId="028325A7">
      <w:pPr>
        <w:jc w:val="center"/>
        <w:rPr>
          <w:rFonts w:hint="eastAsia" w:asciiTheme="majorEastAsia" w:hAnsiTheme="majorEastAsia" w:eastAsiaTheme="majorEastAsia" w:cstheme="majorEastAsia"/>
          <w:b/>
          <w:bCs/>
          <w:sz w:val="48"/>
          <w:szCs w:val="48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8"/>
          <w:szCs w:val="48"/>
        </w:rPr>
        <w:t>2025年度</w:t>
      </w:r>
      <w:r>
        <w:rPr>
          <w:rFonts w:hint="eastAsia" w:asciiTheme="majorEastAsia" w:hAnsiTheme="majorEastAsia" w:eastAsiaTheme="majorEastAsia" w:cstheme="majorEastAsia"/>
          <w:b/>
          <w:bCs/>
          <w:sz w:val="48"/>
          <w:szCs w:val="48"/>
          <w:lang w:eastAsia="zh-CN"/>
        </w:rPr>
        <w:t>浑南区</w:t>
      </w:r>
      <w:r>
        <w:rPr>
          <w:rFonts w:hint="eastAsia" w:asciiTheme="majorEastAsia" w:hAnsiTheme="majorEastAsia" w:eastAsiaTheme="majorEastAsia" w:cstheme="majorEastAsia"/>
          <w:b/>
          <w:bCs/>
          <w:sz w:val="48"/>
          <w:szCs w:val="48"/>
        </w:rPr>
        <w:t>养老机构等级评定</w:t>
      </w:r>
    </w:p>
    <w:p w14:paraId="4D37AEA8">
      <w:pPr>
        <w:jc w:val="center"/>
        <w:rPr>
          <w:rFonts w:hint="eastAsia"/>
          <w:b/>
          <w:bCs/>
        </w:rPr>
      </w:pPr>
      <w:r>
        <w:rPr>
          <w:rFonts w:hint="eastAsia" w:asciiTheme="majorEastAsia" w:hAnsiTheme="majorEastAsia" w:eastAsiaTheme="majorEastAsia" w:cstheme="majorEastAsia"/>
          <w:b/>
          <w:bCs/>
          <w:sz w:val="48"/>
          <w:szCs w:val="48"/>
        </w:rPr>
        <w:t>初步评定意见</w:t>
      </w:r>
    </w:p>
    <w:p w14:paraId="7D4E1C24">
      <w:pPr>
        <w:rPr>
          <w:rFonts w:hint="eastAsia"/>
        </w:rPr>
      </w:pPr>
      <w:r>
        <w:rPr>
          <w:rFonts w:hint="eastAsia"/>
        </w:rPr>
        <w:t xml:space="preserve">   </w:t>
      </w:r>
    </w:p>
    <w:p w14:paraId="5FACA035">
      <w:pPr>
        <w:rPr>
          <w:rFonts w:hint="eastAsia"/>
        </w:rPr>
      </w:pPr>
    </w:p>
    <w:p w14:paraId="65DC377E">
      <w:pPr>
        <w:rPr>
          <w:rFonts w:hint="eastAsia"/>
        </w:rPr>
      </w:pPr>
    </w:p>
    <w:p w14:paraId="46450033">
      <w:pPr>
        <w:rPr>
          <w:rFonts w:hint="eastAsia"/>
        </w:rPr>
      </w:pPr>
    </w:p>
    <w:p w14:paraId="2789FC2C">
      <w:pPr>
        <w:rPr>
          <w:rFonts w:hint="eastAsia"/>
        </w:rPr>
      </w:pPr>
    </w:p>
    <w:p w14:paraId="77EAEDBE">
      <w:pPr>
        <w:rPr>
          <w:rFonts w:hint="eastAsia"/>
        </w:rPr>
      </w:pPr>
      <w:r>
        <w:rPr>
          <w:rFonts w:hint="eastAsia"/>
        </w:rPr>
        <w:t xml:space="preserve">      </w:t>
      </w:r>
    </w:p>
    <w:p w14:paraId="047555CA">
      <w:pPr>
        <w:rPr>
          <w:rFonts w:hint="eastAsia"/>
        </w:rPr>
      </w:pPr>
    </w:p>
    <w:p w14:paraId="4CA8243E">
      <w:pPr>
        <w:rPr>
          <w:rFonts w:hint="eastAsia"/>
        </w:rPr>
      </w:pPr>
    </w:p>
    <w:p w14:paraId="71AE3D40">
      <w:pPr>
        <w:rPr>
          <w:rFonts w:hint="eastAsia"/>
        </w:rPr>
      </w:pPr>
    </w:p>
    <w:p w14:paraId="5E79F128">
      <w:pPr>
        <w:rPr>
          <w:rFonts w:hint="eastAsia"/>
        </w:rPr>
      </w:pPr>
    </w:p>
    <w:p w14:paraId="54E463B5">
      <w:pPr>
        <w:rPr>
          <w:rFonts w:hint="eastAsia"/>
        </w:rPr>
      </w:pPr>
    </w:p>
    <w:p w14:paraId="653119EF">
      <w:pPr>
        <w:jc w:val="center"/>
        <w:rPr>
          <w:rFonts w:hint="eastAsia" w:ascii="仿宋" w:hAnsi="仿宋" w:eastAsia="仿宋" w:cs="仿宋"/>
          <w:sz w:val="36"/>
          <w:szCs w:val="36"/>
        </w:rPr>
      </w:pPr>
    </w:p>
    <w:p w14:paraId="146C7314">
      <w:pPr>
        <w:jc w:val="center"/>
        <w:rPr>
          <w:rFonts w:hint="eastAsia" w:ascii="仿宋" w:hAnsi="仿宋" w:eastAsia="仿宋" w:cs="仿宋"/>
          <w:sz w:val="36"/>
          <w:szCs w:val="36"/>
        </w:rPr>
      </w:pPr>
    </w:p>
    <w:p w14:paraId="625307C1">
      <w:pPr>
        <w:jc w:val="center"/>
        <w:rPr>
          <w:rFonts w:hint="eastAsia" w:ascii="仿宋" w:hAnsi="仿宋" w:eastAsia="仿宋" w:cs="仿宋"/>
          <w:sz w:val="36"/>
          <w:szCs w:val="36"/>
        </w:rPr>
      </w:pPr>
    </w:p>
    <w:p w14:paraId="62237317">
      <w:pPr>
        <w:ind w:firstLine="1440" w:firstLineChars="400"/>
        <w:jc w:val="both"/>
        <w:rPr>
          <w:rFonts w:hint="default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6"/>
          <w:szCs w:val="36"/>
        </w:rPr>
        <w:t>单   位：</w:t>
      </w:r>
      <w:r>
        <w:rPr>
          <w:rFonts w:hint="eastAsia" w:ascii="仿宋" w:hAnsi="仿宋" w:eastAsia="仿宋" w:cs="仿宋"/>
          <w:sz w:val="36"/>
          <w:szCs w:val="36"/>
          <w:lang w:eastAsia="zh-CN"/>
        </w:rPr>
        <w:t>浑南区民政局</w:t>
      </w: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 xml:space="preserve">   </w:t>
      </w:r>
    </w:p>
    <w:p w14:paraId="67BB3672">
      <w:pPr>
        <w:jc w:val="center"/>
        <w:rPr>
          <w:rFonts w:hint="eastAsia" w:ascii="仿宋" w:hAnsi="仿宋" w:eastAsia="仿宋" w:cs="仿宋"/>
          <w:sz w:val="36"/>
          <w:szCs w:val="36"/>
        </w:rPr>
      </w:pPr>
    </w:p>
    <w:p w14:paraId="6FE958D6">
      <w:pPr>
        <w:ind w:firstLine="1440" w:firstLineChars="400"/>
        <w:jc w:val="both"/>
        <w:rPr>
          <w:rFonts w:hint="eastAsia"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</w:rPr>
        <w:t xml:space="preserve">日 </w:t>
      </w: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6"/>
          <w:szCs w:val="36"/>
        </w:rPr>
        <w:t xml:space="preserve"> 期：2025 年 10 月 16 日</w:t>
      </w:r>
    </w:p>
    <w:p w14:paraId="4F3C5FB0">
      <w:pPr>
        <w:ind w:firstLine="1440" w:firstLineChars="400"/>
        <w:jc w:val="both"/>
        <w:rPr>
          <w:rFonts w:hint="eastAsia" w:ascii="仿宋" w:hAnsi="仿宋" w:eastAsia="仿宋" w:cs="仿宋"/>
          <w:sz w:val="36"/>
          <w:szCs w:val="36"/>
        </w:rPr>
      </w:pPr>
    </w:p>
    <w:p w14:paraId="6618A17C">
      <w:pPr>
        <w:ind w:firstLine="1440" w:firstLineChars="400"/>
        <w:jc w:val="both"/>
        <w:rPr>
          <w:rFonts w:hint="eastAsia" w:ascii="仿宋" w:hAnsi="仿宋" w:eastAsia="仿宋" w:cs="仿宋"/>
          <w:sz w:val="36"/>
          <w:szCs w:val="36"/>
        </w:rPr>
      </w:pPr>
    </w:p>
    <w:p w14:paraId="0618817A">
      <w:pPr>
        <w:ind w:firstLine="1440" w:firstLineChars="400"/>
        <w:jc w:val="both"/>
        <w:rPr>
          <w:rFonts w:hint="eastAsia" w:ascii="仿宋" w:hAnsi="仿宋" w:eastAsia="仿宋" w:cs="仿宋"/>
          <w:sz w:val="36"/>
          <w:szCs w:val="36"/>
        </w:rPr>
      </w:pPr>
    </w:p>
    <w:p w14:paraId="09657F48">
      <w:pPr>
        <w:jc w:val="both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一、浑南区</w:t>
      </w:r>
      <w:r>
        <w:rPr>
          <w:rFonts w:hint="eastAsia" w:ascii="黑体" w:hAnsi="黑体" w:eastAsia="黑体" w:cs="黑体"/>
          <w:sz w:val="36"/>
          <w:szCs w:val="36"/>
        </w:rPr>
        <w:t>养老机构等级评定初步评定意见分析</w:t>
      </w:r>
    </w:p>
    <w:p w14:paraId="69858A74">
      <w:pPr>
        <w:ind w:firstLine="720" w:firstLineChars="200"/>
        <w:jc w:val="both"/>
        <w:rPr>
          <w:rFonts w:hint="eastAsia"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</w:rPr>
        <w:t>共计报名养老机构</w:t>
      </w: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4</w:t>
      </w:r>
      <w:r>
        <w:rPr>
          <w:rFonts w:hint="eastAsia" w:ascii="仿宋" w:hAnsi="仿宋" w:eastAsia="仿宋" w:cs="仿宋"/>
          <w:sz w:val="36"/>
          <w:szCs w:val="36"/>
        </w:rPr>
        <w:t>家，实际完成等级评定养老机构</w:t>
      </w: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4</w:t>
      </w:r>
      <w:r>
        <w:rPr>
          <w:rFonts w:hint="eastAsia" w:ascii="仿宋" w:hAnsi="仿宋" w:eastAsia="仿宋" w:cs="仿宋"/>
          <w:sz w:val="36"/>
          <w:szCs w:val="36"/>
        </w:rPr>
        <w:t>家。养老机构等级评定初步评定意见如下：</w:t>
      </w:r>
    </w:p>
    <w:tbl>
      <w:tblPr>
        <w:tblStyle w:val="2"/>
        <w:tblpPr w:leftFromText="180" w:rightFromText="180" w:vertAnchor="text" w:horzAnchor="page" w:tblpX="971" w:tblpY="601"/>
        <w:tblOverlap w:val="never"/>
        <w:tblW w:w="1023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3"/>
        <w:gridCol w:w="1200"/>
        <w:gridCol w:w="960"/>
        <w:gridCol w:w="927"/>
        <w:gridCol w:w="956"/>
        <w:gridCol w:w="941"/>
        <w:gridCol w:w="956"/>
        <w:gridCol w:w="1620"/>
        <w:gridCol w:w="1513"/>
      </w:tblGrid>
      <w:tr w14:paraId="5EFD94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  <w:tblHeader/>
        </w:trPr>
        <w:tc>
          <w:tcPr>
            <w:tcW w:w="11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B5C7EA" w:themeFill="accent1" w:themeFillTint="66"/>
            <w:tcMar>
              <w:top w:w="15" w:type="dxa"/>
              <w:left w:w="15" w:type="dxa"/>
              <w:right w:w="15" w:type="dxa"/>
            </w:tcMar>
            <w:vAlign w:val="center"/>
          </w:tcPr>
          <w:p w14:paraId="65D61FF4">
            <w:pPr>
              <w:widowControl/>
              <w:spacing w:line="240" w:lineRule="auto"/>
              <w:jc w:val="center"/>
              <w:textAlignment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所属区域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B5C7EA" w:themeFill="accent1" w:themeFillTint="66"/>
            <w:tcMar>
              <w:top w:w="15" w:type="dxa"/>
              <w:left w:w="15" w:type="dxa"/>
              <w:right w:w="15" w:type="dxa"/>
            </w:tcMar>
            <w:vAlign w:val="center"/>
          </w:tcPr>
          <w:p w14:paraId="4690C8A2">
            <w:pPr>
              <w:widowControl/>
              <w:spacing w:line="240" w:lineRule="auto"/>
              <w:jc w:val="center"/>
              <w:textAlignment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实际评定数量小计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B5C7EA" w:themeFill="accent1" w:themeFillTint="66"/>
            <w:tcMar>
              <w:top w:w="15" w:type="dxa"/>
              <w:left w:w="15" w:type="dxa"/>
              <w:right w:w="15" w:type="dxa"/>
            </w:tcMar>
            <w:vAlign w:val="center"/>
          </w:tcPr>
          <w:p w14:paraId="4AFE4B61">
            <w:pPr>
              <w:widowControl/>
              <w:spacing w:line="240" w:lineRule="auto"/>
              <w:jc w:val="center"/>
              <w:textAlignment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不予</w:t>
            </w:r>
          </w:p>
          <w:p w14:paraId="48A2E489">
            <w:pPr>
              <w:widowControl/>
              <w:spacing w:line="240" w:lineRule="auto"/>
              <w:jc w:val="center"/>
              <w:textAlignment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推荐</w:t>
            </w:r>
          </w:p>
        </w:tc>
        <w:tc>
          <w:tcPr>
            <w:tcW w:w="927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B5C7EA" w:themeFill="accent1" w:themeFillTint="66"/>
            <w:tcMar>
              <w:top w:w="15" w:type="dxa"/>
              <w:left w:w="15" w:type="dxa"/>
              <w:right w:w="15" w:type="dxa"/>
            </w:tcMar>
            <w:vAlign w:val="center"/>
          </w:tcPr>
          <w:p w14:paraId="3832E9F7">
            <w:pPr>
              <w:widowControl/>
              <w:spacing w:line="240" w:lineRule="auto"/>
              <w:jc w:val="center"/>
              <w:textAlignment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一级</w:t>
            </w:r>
          </w:p>
        </w:tc>
        <w:tc>
          <w:tcPr>
            <w:tcW w:w="956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B5C7EA" w:themeFill="accent1" w:themeFillTint="66"/>
            <w:tcMar>
              <w:top w:w="15" w:type="dxa"/>
              <w:left w:w="15" w:type="dxa"/>
              <w:right w:w="15" w:type="dxa"/>
            </w:tcMar>
            <w:vAlign w:val="center"/>
          </w:tcPr>
          <w:p w14:paraId="0EC077B0">
            <w:pPr>
              <w:widowControl/>
              <w:spacing w:line="240" w:lineRule="auto"/>
              <w:jc w:val="center"/>
              <w:textAlignment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二级</w:t>
            </w:r>
          </w:p>
        </w:tc>
        <w:tc>
          <w:tcPr>
            <w:tcW w:w="941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B5C7EA" w:themeFill="accent1" w:themeFillTint="66"/>
            <w:tcMar>
              <w:top w:w="15" w:type="dxa"/>
              <w:left w:w="15" w:type="dxa"/>
              <w:right w:w="15" w:type="dxa"/>
            </w:tcMar>
            <w:vAlign w:val="center"/>
          </w:tcPr>
          <w:p w14:paraId="605488CB">
            <w:pPr>
              <w:widowControl/>
              <w:spacing w:line="240" w:lineRule="auto"/>
              <w:jc w:val="center"/>
              <w:textAlignment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三级</w:t>
            </w:r>
          </w:p>
        </w:tc>
        <w:tc>
          <w:tcPr>
            <w:tcW w:w="956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B5C7EA" w:themeFill="accent1" w:themeFillTint="66"/>
            <w:tcMar>
              <w:top w:w="15" w:type="dxa"/>
              <w:left w:w="15" w:type="dxa"/>
              <w:right w:w="15" w:type="dxa"/>
            </w:tcMar>
            <w:vAlign w:val="center"/>
          </w:tcPr>
          <w:p w14:paraId="237E1E52">
            <w:pPr>
              <w:widowControl/>
              <w:spacing w:line="240" w:lineRule="auto"/>
              <w:jc w:val="center"/>
              <w:textAlignment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四级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B5C7EA" w:themeFill="accent1" w:themeFillTint="66"/>
            <w:tcMar>
              <w:top w:w="15" w:type="dxa"/>
              <w:left w:w="15" w:type="dxa"/>
              <w:right w:w="15" w:type="dxa"/>
            </w:tcMar>
            <w:vAlign w:val="center"/>
          </w:tcPr>
          <w:p w14:paraId="363F933F">
            <w:pPr>
              <w:widowControl/>
              <w:spacing w:line="240" w:lineRule="auto"/>
              <w:jc w:val="center"/>
              <w:textAlignment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推荐等级</w:t>
            </w:r>
          </w:p>
          <w:p w14:paraId="17FB620C">
            <w:pPr>
              <w:widowControl/>
              <w:spacing w:line="240" w:lineRule="auto"/>
              <w:jc w:val="center"/>
              <w:textAlignment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数量小计</w:t>
            </w:r>
          </w:p>
        </w:tc>
        <w:tc>
          <w:tcPr>
            <w:tcW w:w="1513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B5C7EA" w:themeFill="accent1" w:themeFillTint="66"/>
            <w:tcMar>
              <w:top w:w="15" w:type="dxa"/>
              <w:left w:w="15" w:type="dxa"/>
              <w:right w:w="15" w:type="dxa"/>
            </w:tcMar>
            <w:vAlign w:val="center"/>
          </w:tcPr>
          <w:p w14:paraId="222A07A6">
            <w:pPr>
              <w:widowControl/>
              <w:spacing w:line="240" w:lineRule="auto"/>
              <w:jc w:val="center"/>
              <w:textAlignment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区域</w:t>
            </w:r>
          </w:p>
          <w:p w14:paraId="110839FF">
            <w:pPr>
              <w:widowControl/>
              <w:spacing w:line="240" w:lineRule="auto"/>
              <w:jc w:val="center"/>
              <w:textAlignment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等级占比</w:t>
            </w:r>
          </w:p>
        </w:tc>
      </w:tr>
      <w:tr w14:paraId="415A27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EFF6FC"/>
            <w:tcMar>
              <w:top w:w="15" w:type="dxa"/>
              <w:left w:w="15" w:type="dxa"/>
              <w:right w:w="15" w:type="dxa"/>
            </w:tcMar>
            <w:vAlign w:val="center"/>
          </w:tcPr>
          <w:p w14:paraId="1EE9C62F">
            <w:pPr>
              <w:widowControl/>
              <w:spacing w:line="240" w:lineRule="auto"/>
              <w:jc w:val="center"/>
              <w:textAlignment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浑南区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4BE5A2A">
            <w:pPr>
              <w:widowControl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AE504F0">
            <w:pPr>
              <w:widowControl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FC491A3">
            <w:pPr>
              <w:widowControl/>
              <w:spacing w:line="240" w:lineRule="auto"/>
              <w:jc w:val="center"/>
              <w:textAlignment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BB1F9DB">
            <w:pPr>
              <w:widowControl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60CFF90">
            <w:pPr>
              <w:widowControl/>
              <w:spacing w:line="240" w:lineRule="auto"/>
              <w:jc w:val="center"/>
              <w:textAlignment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E19A925">
            <w:pPr>
              <w:widowControl/>
              <w:spacing w:line="240" w:lineRule="auto"/>
              <w:jc w:val="center"/>
              <w:textAlignment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7D696FF">
            <w:pPr>
              <w:widowControl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B654209">
            <w:pPr>
              <w:widowControl/>
              <w:spacing w:line="240" w:lineRule="auto"/>
              <w:jc w:val="center"/>
              <w:textAlignment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</w:tr>
    </w:tbl>
    <w:p w14:paraId="57163279">
      <w:pPr>
        <w:jc w:val="both"/>
        <w:rPr>
          <w:rFonts w:hint="eastAsia" w:ascii="仿宋" w:hAnsi="仿宋" w:eastAsia="仿宋" w:cs="仿宋"/>
          <w:sz w:val="36"/>
          <w:szCs w:val="36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3CED388D">
      <w:pPr>
        <w:jc w:val="both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二、浑南区参评养老机构等级评定初步评定情况汇总</w:t>
      </w:r>
    </w:p>
    <w:tbl>
      <w:tblPr>
        <w:tblStyle w:val="2"/>
        <w:tblW w:w="15583" w:type="dxa"/>
        <w:tblInd w:w="-17" w:type="dxa"/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672"/>
        <w:gridCol w:w="825"/>
        <w:gridCol w:w="2550"/>
        <w:gridCol w:w="955"/>
        <w:gridCol w:w="2168"/>
        <w:gridCol w:w="1636"/>
        <w:gridCol w:w="1787"/>
        <w:gridCol w:w="1568"/>
        <w:gridCol w:w="1699"/>
        <w:gridCol w:w="1723"/>
      </w:tblGrid>
      <w:tr w14:paraId="1310177C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76" w:hRule="atLeast"/>
          <w:tblHeader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5C7EA" w:themeFill="accent1" w:themeFillTint="66"/>
            <w:noWrap/>
            <w:vAlign w:val="center"/>
          </w:tcPr>
          <w:p w14:paraId="764B010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5C7EA" w:themeFill="accent1" w:themeFillTint="66"/>
            <w:noWrap/>
            <w:vAlign w:val="center"/>
          </w:tcPr>
          <w:p w14:paraId="3673C9F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bidi="ar"/>
              </w:rPr>
              <w:t>所属区域</w:t>
            </w:r>
          </w:p>
        </w:tc>
        <w:tc>
          <w:tcPr>
            <w:tcW w:w="2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5C7EA" w:themeFill="accent1" w:themeFillTint="66"/>
            <w:noWrap/>
            <w:vAlign w:val="center"/>
          </w:tcPr>
          <w:p w14:paraId="1317701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bidi="ar"/>
              </w:rPr>
              <w:t>养老机构名称</w:t>
            </w:r>
          </w:p>
        </w:tc>
        <w:tc>
          <w:tcPr>
            <w:tcW w:w="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5C7EA" w:themeFill="accent1" w:themeFillTint="66"/>
            <w:noWrap/>
            <w:vAlign w:val="center"/>
          </w:tcPr>
          <w:p w14:paraId="0533925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bidi="ar"/>
              </w:rPr>
              <w:t>申报等级</w:t>
            </w:r>
          </w:p>
        </w:tc>
        <w:tc>
          <w:tcPr>
            <w:tcW w:w="2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5C7EA" w:themeFill="accent1" w:themeFillTint="66"/>
            <w:vAlign w:val="center"/>
          </w:tcPr>
          <w:p w14:paraId="2681329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bidi="ar"/>
              </w:rPr>
              <w:t>初步评定意见</w:t>
            </w:r>
          </w:p>
        </w:tc>
        <w:tc>
          <w:tcPr>
            <w:tcW w:w="1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5C7EA" w:themeFill="accent1" w:themeFillTint="66"/>
            <w:vAlign w:val="center"/>
          </w:tcPr>
          <w:p w14:paraId="457E02A0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仿宋" w:hAnsi="仿宋" w:eastAsia="仿宋" w:cs="仿宋"/>
                <w:b/>
                <w:bCs/>
                <w:color w:val="00000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Cs w:val="21"/>
                <w:lang w:bidi="ar"/>
              </w:rPr>
              <w:t>环境得分/</w:t>
            </w:r>
          </w:p>
          <w:p w14:paraId="0E378A12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仿宋" w:hAnsi="仿宋" w:eastAsia="仿宋" w:cs="仿宋"/>
                <w:b/>
                <w:bCs/>
                <w:color w:val="00000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Cs w:val="21"/>
                <w:lang w:bidi="ar"/>
              </w:rPr>
              <w:t>单项得分占比</w:t>
            </w:r>
          </w:p>
        </w:tc>
        <w:tc>
          <w:tcPr>
            <w:tcW w:w="1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5C7EA" w:themeFill="accent1" w:themeFillTint="66"/>
            <w:vAlign w:val="center"/>
          </w:tcPr>
          <w:p w14:paraId="03B89522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仿宋" w:hAnsi="仿宋" w:eastAsia="仿宋" w:cs="仿宋"/>
                <w:b/>
                <w:bCs/>
                <w:color w:val="00000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Cs w:val="21"/>
                <w:lang w:bidi="ar"/>
              </w:rPr>
              <w:t>设备设施得分/</w:t>
            </w:r>
          </w:p>
          <w:p w14:paraId="5B3DDC7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仿宋" w:hAnsi="仿宋" w:eastAsia="仿宋" w:cs="仿宋"/>
                <w:b/>
                <w:bCs/>
                <w:color w:val="00000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Cs w:val="21"/>
                <w:lang w:bidi="ar"/>
              </w:rPr>
              <w:t>单项得分占比</w:t>
            </w:r>
          </w:p>
        </w:tc>
        <w:tc>
          <w:tcPr>
            <w:tcW w:w="1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5C7EA" w:themeFill="accent1" w:themeFillTint="66"/>
            <w:vAlign w:val="center"/>
          </w:tcPr>
          <w:p w14:paraId="6F40AEE1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仿宋" w:hAnsi="仿宋" w:eastAsia="仿宋" w:cs="仿宋"/>
                <w:b/>
                <w:bCs/>
                <w:color w:val="00000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Cs w:val="21"/>
                <w:lang w:bidi="ar"/>
              </w:rPr>
              <w:t>运营管理得分/</w:t>
            </w:r>
          </w:p>
          <w:p w14:paraId="1F81D72A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仿宋" w:hAnsi="仿宋" w:eastAsia="仿宋" w:cs="仿宋"/>
                <w:b/>
                <w:bCs/>
                <w:color w:val="00000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Cs w:val="21"/>
                <w:lang w:bidi="ar"/>
              </w:rPr>
              <w:t>单项得分占比</w:t>
            </w:r>
          </w:p>
        </w:tc>
        <w:tc>
          <w:tcPr>
            <w:tcW w:w="1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5C7EA" w:themeFill="accent1" w:themeFillTint="66"/>
            <w:vAlign w:val="center"/>
          </w:tcPr>
          <w:p w14:paraId="53282F9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仿宋" w:hAnsi="仿宋" w:eastAsia="仿宋" w:cs="仿宋"/>
                <w:b/>
                <w:bCs/>
                <w:color w:val="00000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Cs w:val="21"/>
                <w:lang w:bidi="ar"/>
              </w:rPr>
              <w:t>服务得分/</w:t>
            </w:r>
          </w:p>
          <w:p w14:paraId="47B76D3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仿宋" w:hAnsi="仿宋" w:eastAsia="仿宋" w:cs="仿宋"/>
                <w:b/>
                <w:bCs/>
                <w:color w:val="00000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Cs w:val="21"/>
                <w:lang w:bidi="ar"/>
              </w:rPr>
              <w:t>单项得分占比</w:t>
            </w:r>
          </w:p>
        </w:tc>
        <w:tc>
          <w:tcPr>
            <w:tcW w:w="1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5C7EA" w:themeFill="accent1" w:themeFillTint="66"/>
            <w:vAlign w:val="center"/>
          </w:tcPr>
          <w:p w14:paraId="62E5558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bidi="ar"/>
              </w:rPr>
              <w:t>总分</w:t>
            </w:r>
          </w:p>
        </w:tc>
      </w:tr>
      <w:tr w14:paraId="5F453E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619CE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1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FD78D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  <w:p w14:paraId="10425EA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浑南区</w:t>
            </w:r>
          </w:p>
          <w:p w14:paraId="54FEABC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>（4）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124B1E">
            <w:pPr>
              <w:widowControl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沈阳市浑南区仁爱老年公寓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D8848E"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 w:bidi="ar"/>
              </w:rPr>
              <w:t>二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级</w:t>
            </w:r>
          </w:p>
        </w:tc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622070">
            <w:pPr>
              <w:widowControl/>
              <w:jc w:val="left"/>
              <w:textAlignment w:val="bottom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总分满足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 w:bidi="ar"/>
              </w:rPr>
              <w:t>二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级；</w:t>
            </w:r>
          </w:p>
          <w:p w14:paraId="54835568">
            <w:pPr>
              <w:widowControl/>
              <w:jc w:val="left"/>
              <w:textAlignment w:val="bottom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bidi="ar"/>
              </w:rPr>
              <w:t>综合推荐为：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eastAsia="zh-CN" w:bidi="ar"/>
              </w:rPr>
              <w:t>二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bidi="ar"/>
              </w:rPr>
              <w:t>级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706620"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>99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>82.5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%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0AB051"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>86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>66.2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%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1AF355"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>89.58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>59.7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%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F5F0E7"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>333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>55.5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%</w:t>
            </w: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278C7C">
            <w:pPr>
              <w:widowControl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>607.58</w:t>
            </w:r>
          </w:p>
        </w:tc>
      </w:tr>
      <w:tr w14:paraId="20C93A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70EDF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2</w:t>
            </w:r>
          </w:p>
        </w:tc>
        <w:tc>
          <w:tcPr>
            <w:tcW w:w="8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67089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C117C5">
            <w:pPr>
              <w:widowControl/>
              <w:jc w:val="left"/>
              <w:textAlignment w:val="bottom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浑南区爱军老年公寓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B999A9"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 w:bidi="ar"/>
              </w:rPr>
              <w:t>二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级</w:t>
            </w:r>
          </w:p>
        </w:tc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ABEE62">
            <w:pPr>
              <w:widowControl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总分满足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 w:bidi="ar"/>
              </w:rPr>
              <w:t>二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级；</w:t>
            </w:r>
          </w:p>
          <w:p w14:paraId="232ED11D">
            <w:pPr>
              <w:widowControl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bidi="ar"/>
              </w:rPr>
              <w:t>综合推荐为：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eastAsia="zh-CN" w:bidi="ar"/>
              </w:rPr>
              <w:t>二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bidi="ar"/>
              </w:rPr>
              <w:t>级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E516E5">
            <w:pPr>
              <w:widowControl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>81.5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>67.9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%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AC1B3F"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>66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>50.78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%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9E0160"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>86.45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>57.6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%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A79047"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>349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>58.16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%</w:t>
            </w: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56A373">
            <w:pPr>
              <w:widowControl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>583</w:t>
            </w:r>
          </w:p>
        </w:tc>
      </w:tr>
      <w:tr w14:paraId="2E83E7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CF03CE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8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45793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68CC6E">
            <w:pPr>
              <w:widowControl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沈阳市浑南区常青藤老年公寓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EA8FF0"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 w:bidi="ar"/>
              </w:rPr>
              <w:t>二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级</w:t>
            </w:r>
          </w:p>
        </w:tc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9FACFA">
            <w:pPr>
              <w:widowControl/>
              <w:jc w:val="left"/>
              <w:textAlignment w:val="bottom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总分满足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 w:bidi="ar"/>
              </w:rPr>
              <w:t>二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级；</w:t>
            </w:r>
          </w:p>
          <w:p w14:paraId="70E023B8">
            <w:pPr>
              <w:widowControl/>
              <w:jc w:val="left"/>
              <w:textAlignment w:val="bottom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bidi="ar"/>
              </w:rPr>
              <w:t>综合推荐为：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eastAsia="zh-CN" w:bidi="ar"/>
              </w:rPr>
              <w:t>二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bidi="ar"/>
              </w:rPr>
              <w:t>级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83129A">
            <w:pPr>
              <w:widowControl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>97/80.8%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58CC55">
            <w:pPr>
              <w:widowControl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>82.5/63.5%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61A995">
            <w:pPr>
              <w:widowControl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>100.5/67%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2EACEF">
            <w:pPr>
              <w:widowControl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>486/81%</w:t>
            </w: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3D2A19">
            <w:pPr>
              <w:widowControl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>766</w:t>
            </w:r>
          </w:p>
        </w:tc>
      </w:tr>
      <w:tr w14:paraId="7D1E49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715E3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8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38F8E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B21009">
            <w:pPr>
              <w:widowControl/>
              <w:jc w:val="left"/>
              <w:textAlignment w:val="bottom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沈阳市浑南区世博苑老年公寓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1DF9D2"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 w:bidi="ar"/>
              </w:rPr>
              <w:t>二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级</w:t>
            </w:r>
          </w:p>
        </w:tc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795F6B">
            <w:pPr>
              <w:widowControl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总分满足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 w:bidi="ar"/>
              </w:rPr>
              <w:t>二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级；</w:t>
            </w:r>
          </w:p>
          <w:p w14:paraId="38FD55C2">
            <w:pPr>
              <w:widowControl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bidi="ar"/>
              </w:rPr>
              <w:t>综合推荐为：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eastAsia="zh-CN" w:bidi="ar"/>
              </w:rPr>
              <w:t>二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bidi="ar"/>
              </w:rPr>
              <w:t>级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4E5215">
            <w:pPr>
              <w:widowControl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>85.9/71.5%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AFAAAB">
            <w:pPr>
              <w:widowControl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>120.2/92.5%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33676B">
            <w:pPr>
              <w:widowControl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>75.5/50.3%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136A09">
            <w:pPr>
              <w:widowControl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>325/54.16%</w:t>
            </w: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D79FE8">
            <w:pPr>
              <w:widowControl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>606.6</w:t>
            </w:r>
          </w:p>
        </w:tc>
      </w:tr>
    </w:tbl>
    <w:p w14:paraId="5288F4C1">
      <w:pPr>
        <w:jc w:val="both"/>
        <w:rPr>
          <w:rFonts w:hint="eastAsia" w:ascii="仿宋" w:hAnsi="仿宋" w:eastAsia="仿宋" w:cs="仿宋"/>
          <w:sz w:val="36"/>
          <w:szCs w:val="36"/>
        </w:rPr>
      </w:pPr>
    </w:p>
    <w:p w14:paraId="46FEE1AF">
      <w:pPr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930" w:bottom="1800" w:left="90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024435"/>
    <w:rsid w:val="01123D9E"/>
    <w:rsid w:val="01E90FE1"/>
    <w:rsid w:val="05735A3A"/>
    <w:rsid w:val="09CE54AD"/>
    <w:rsid w:val="0A4E24E1"/>
    <w:rsid w:val="0C1F0548"/>
    <w:rsid w:val="0C311C32"/>
    <w:rsid w:val="0D366EE9"/>
    <w:rsid w:val="115E3FEE"/>
    <w:rsid w:val="11DB2F47"/>
    <w:rsid w:val="12402E84"/>
    <w:rsid w:val="12DE0893"/>
    <w:rsid w:val="13B862C8"/>
    <w:rsid w:val="14060DE1"/>
    <w:rsid w:val="149F7716"/>
    <w:rsid w:val="183A374F"/>
    <w:rsid w:val="2031368A"/>
    <w:rsid w:val="21CB3814"/>
    <w:rsid w:val="2287716D"/>
    <w:rsid w:val="23264FFC"/>
    <w:rsid w:val="29A14289"/>
    <w:rsid w:val="2A415297"/>
    <w:rsid w:val="2D8366BB"/>
    <w:rsid w:val="39183631"/>
    <w:rsid w:val="399E39A9"/>
    <w:rsid w:val="39D71C86"/>
    <w:rsid w:val="3AAA60BB"/>
    <w:rsid w:val="3D6D582E"/>
    <w:rsid w:val="3D8A4574"/>
    <w:rsid w:val="3DB50FFF"/>
    <w:rsid w:val="44C67665"/>
    <w:rsid w:val="47F3216A"/>
    <w:rsid w:val="48BA11FA"/>
    <w:rsid w:val="4A804742"/>
    <w:rsid w:val="4CD9638C"/>
    <w:rsid w:val="4DFA0CB0"/>
    <w:rsid w:val="51B227FA"/>
    <w:rsid w:val="5234700E"/>
    <w:rsid w:val="52C131AC"/>
    <w:rsid w:val="55B45575"/>
    <w:rsid w:val="56CD0D0F"/>
    <w:rsid w:val="60065292"/>
    <w:rsid w:val="6284166C"/>
    <w:rsid w:val="65363F24"/>
    <w:rsid w:val="6589499B"/>
    <w:rsid w:val="65915CCD"/>
    <w:rsid w:val="66106E4C"/>
    <w:rsid w:val="6A1119AC"/>
    <w:rsid w:val="6A9774F1"/>
    <w:rsid w:val="6BD66D6A"/>
    <w:rsid w:val="6C33493E"/>
    <w:rsid w:val="71EF5B86"/>
    <w:rsid w:val="7A024435"/>
    <w:rsid w:val="7CE50341"/>
    <w:rsid w:val="7CFC42FA"/>
    <w:rsid w:val="7E933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391</Words>
  <Characters>474</Characters>
  <Lines>0</Lines>
  <Paragraphs>0</Paragraphs>
  <TotalTime>313</TotalTime>
  <ScaleCrop>false</ScaleCrop>
  <LinksUpToDate>false</LinksUpToDate>
  <CharactersWithSpaces>499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2025-09-25T05:54:00Z</dcterms:created>
  <dc:creator>晏柔</dc:creator>
  <cp:lastModifiedBy>廖云松</cp:lastModifiedBy>
  <dcterms:modified xsi:type="dcterms:W3CDTF">2025-10-15T05:58:51Z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9EC75985A5EC46618A65B6FCD81F64CE_13</vt:lpwstr>
  </property>
  <property fmtid="{D5CDD505-2E9C-101B-9397-08002B2CF9AE}" pid="4" name="KSOTemplateDocerSaveRecord">
    <vt:lpwstr>eyJoZGlkIjoiNzgzY2IxMjZmZmJiN2YwZjk5YjIwYjA0NTU3NTkyYzUiLCJ1c2VySWQiOiI0MzE2NzExNzAifQ==</vt:lpwstr>
  </property>
</Properties>
</file>