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67A8E">
      <w:pPr>
        <w:pStyle w:val="4"/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leftChars="0" w:right="0" w:rightChars="0"/>
        <w:jc w:val="center"/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表</w:t>
      </w:r>
      <w:r>
        <w:rPr>
          <w:rFonts w:hint="eastAsia" w:cs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>工业固体废物综合利用情况评价表</w:t>
      </w:r>
    </w:p>
    <w:tbl>
      <w:tblPr>
        <w:tblStyle w:val="2"/>
        <w:tblW w:w="139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851"/>
        <w:gridCol w:w="1077"/>
        <w:gridCol w:w="1078"/>
        <w:gridCol w:w="2126"/>
        <w:gridCol w:w="1552"/>
        <w:gridCol w:w="1726"/>
        <w:gridCol w:w="1520"/>
        <w:gridCol w:w="1694"/>
        <w:gridCol w:w="1591"/>
      </w:tblGrid>
      <w:tr w14:paraId="61A49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690" w:type="dxa"/>
            <w:vMerge w:val="restart"/>
            <w:vAlign w:val="center"/>
          </w:tcPr>
          <w:p w14:paraId="716E7DC4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851" w:type="dxa"/>
            <w:vMerge w:val="restart"/>
            <w:vAlign w:val="center"/>
          </w:tcPr>
          <w:p w14:paraId="5289535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地区</w:t>
            </w:r>
          </w:p>
        </w:tc>
        <w:tc>
          <w:tcPr>
            <w:tcW w:w="2155" w:type="dxa"/>
            <w:gridSpan w:val="2"/>
            <w:vAlign w:val="center"/>
          </w:tcPr>
          <w:p w14:paraId="2B6D856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2126" w:type="dxa"/>
            <w:vMerge w:val="restart"/>
            <w:vAlign w:val="center"/>
          </w:tcPr>
          <w:p w14:paraId="45C2360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评价期</w:t>
            </w:r>
          </w:p>
        </w:tc>
        <w:tc>
          <w:tcPr>
            <w:tcW w:w="3278" w:type="dxa"/>
            <w:gridSpan w:val="2"/>
            <w:vAlign w:val="center"/>
          </w:tcPr>
          <w:p w14:paraId="222891E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综合利用产品</w:t>
            </w:r>
          </w:p>
        </w:tc>
        <w:tc>
          <w:tcPr>
            <w:tcW w:w="1520" w:type="dxa"/>
            <w:vMerge w:val="restart"/>
            <w:vAlign w:val="center"/>
          </w:tcPr>
          <w:p w14:paraId="2FEE1E65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工业固体废物名称</w:t>
            </w:r>
          </w:p>
        </w:tc>
        <w:tc>
          <w:tcPr>
            <w:tcW w:w="1694" w:type="dxa"/>
            <w:vMerge w:val="restart"/>
            <w:vAlign w:val="center"/>
          </w:tcPr>
          <w:p w14:paraId="303EF96F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综合利用量（吨）</w:t>
            </w:r>
          </w:p>
        </w:tc>
        <w:tc>
          <w:tcPr>
            <w:tcW w:w="1591" w:type="dxa"/>
            <w:vMerge w:val="restart"/>
            <w:vAlign w:val="center"/>
          </w:tcPr>
          <w:p w14:paraId="550492BE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评价机构名称</w:t>
            </w:r>
          </w:p>
        </w:tc>
      </w:tr>
      <w:tr w14:paraId="4D98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0" w:type="dxa"/>
            <w:vMerge w:val="continue"/>
            <w:vAlign w:val="center"/>
          </w:tcPr>
          <w:p w14:paraId="03C2BA55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  <w:vAlign w:val="center"/>
          </w:tcPr>
          <w:p w14:paraId="7780A2C5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6DB3029F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利废企业</w:t>
            </w:r>
          </w:p>
        </w:tc>
        <w:tc>
          <w:tcPr>
            <w:tcW w:w="1078" w:type="dxa"/>
            <w:vAlign w:val="center"/>
          </w:tcPr>
          <w:p w14:paraId="25A4CD87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产废企业</w:t>
            </w:r>
          </w:p>
        </w:tc>
        <w:tc>
          <w:tcPr>
            <w:tcW w:w="2126" w:type="dxa"/>
            <w:vMerge w:val="continue"/>
            <w:vAlign w:val="center"/>
          </w:tcPr>
          <w:p w14:paraId="7D3A7900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552" w:type="dxa"/>
            <w:vAlign w:val="center"/>
          </w:tcPr>
          <w:p w14:paraId="0ED4D482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726" w:type="dxa"/>
            <w:vAlign w:val="center"/>
          </w:tcPr>
          <w:p w14:paraId="56A23164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数量（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立方米</w:t>
            </w: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）</w:t>
            </w:r>
          </w:p>
        </w:tc>
        <w:tc>
          <w:tcPr>
            <w:tcW w:w="1520" w:type="dxa"/>
            <w:vMerge w:val="continue"/>
            <w:vAlign w:val="center"/>
          </w:tcPr>
          <w:p w14:paraId="7EE5E4C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 w:val="continue"/>
            <w:vAlign w:val="center"/>
          </w:tcPr>
          <w:p w14:paraId="468E8AE6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591" w:type="dxa"/>
            <w:vMerge w:val="continue"/>
            <w:vAlign w:val="center"/>
          </w:tcPr>
          <w:p w14:paraId="5AE7FCEA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color w:val="auto"/>
                <w:sz w:val="24"/>
                <w:szCs w:val="24"/>
              </w:rPr>
            </w:pPr>
          </w:p>
        </w:tc>
      </w:tr>
      <w:tr w14:paraId="043F0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6" w:hRule="exact"/>
          <w:jc w:val="center"/>
        </w:trPr>
        <w:tc>
          <w:tcPr>
            <w:tcW w:w="690" w:type="dxa"/>
            <w:vAlign w:val="center"/>
          </w:tcPr>
          <w:p w14:paraId="44D20235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51FD566C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沈阳市浑南区</w:t>
            </w:r>
          </w:p>
        </w:tc>
        <w:tc>
          <w:tcPr>
            <w:tcW w:w="1077" w:type="dxa"/>
            <w:vAlign w:val="center"/>
          </w:tcPr>
          <w:p w14:paraId="35EE7361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辽宁和祥特种混凝土有限公司</w:t>
            </w:r>
          </w:p>
        </w:tc>
        <w:tc>
          <w:tcPr>
            <w:tcW w:w="1078" w:type="dxa"/>
            <w:vAlign w:val="center"/>
          </w:tcPr>
          <w:p w14:paraId="7EE731A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5" w:firstLineChars="19"/>
              <w:jc w:val="center"/>
              <w:textAlignment w:val="auto"/>
              <w:rPr>
                <w:rFonts w:hint="eastAsia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华润电力（沈阳）有限公司</w:t>
            </w:r>
          </w:p>
        </w:tc>
        <w:tc>
          <w:tcPr>
            <w:tcW w:w="2126" w:type="dxa"/>
            <w:vAlign w:val="center"/>
          </w:tcPr>
          <w:p w14:paraId="7439E37C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202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年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月-202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年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eastAsia="宋体" w:cs="Times New Roman"/>
                <w:color w:val="auto"/>
                <w:sz w:val="24"/>
                <w:szCs w:val="24"/>
              </w:rPr>
              <w:t>月</w:t>
            </w:r>
          </w:p>
        </w:tc>
        <w:tc>
          <w:tcPr>
            <w:tcW w:w="1552" w:type="dxa"/>
            <w:vAlign w:val="center"/>
          </w:tcPr>
          <w:p w14:paraId="09B6B785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预拌混凝土</w:t>
            </w:r>
          </w:p>
        </w:tc>
        <w:tc>
          <w:tcPr>
            <w:tcW w:w="1726" w:type="dxa"/>
            <w:vAlign w:val="center"/>
          </w:tcPr>
          <w:p w14:paraId="585AC640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eastAsia="zh-CN"/>
              </w:rPr>
              <w:t>157837.99</w:t>
            </w:r>
          </w:p>
        </w:tc>
        <w:tc>
          <w:tcPr>
            <w:tcW w:w="1520" w:type="dxa"/>
            <w:vAlign w:val="center"/>
          </w:tcPr>
          <w:p w14:paraId="7D5C6A55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粉煤灰</w:t>
            </w:r>
          </w:p>
        </w:tc>
        <w:tc>
          <w:tcPr>
            <w:tcW w:w="1694" w:type="dxa"/>
            <w:vAlign w:val="center"/>
          </w:tcPr>
          <w:p w14:paraId="612DA85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eastAsia="zh-CN"/>
              </w:rPr>
              <w:t>9549.86</w:t>
            </w:r>
          </w:p>
        </w:tc>
        <w:tc>
          <w:tcPr>
            <w:tcW w:w="1591" w:type="dxa"/>
            <w:vAlign w:val="center"/>
          </w:tcPr>
          <w:p w14:paraId="0E826127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eastAsia="zh-CN"/>
              </w:rPr>
              <w:t>辽宁绿管家环保科技有限公司</w:t>
            </w:r>
          </w:p>
        </w:tc>
      </w:tr>
    </w:tbl>
    <w:p w14:paraId="31B7E948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firstLine="0" w:firstLineChars="0"/>
        <w:jc w:val="both"/>
        <w:rPr>
          <w:rFonts w:hint="default" w:ascii="Times New Roman" w:hAnsi="Times New Roman" w:eastAsia="宋体" w:cs="Times New Roman"/>
          <w:color w:val="auto"/>
          <w:kern w:val="0"/>
          <w:sz w:val="21"/>
          <w:szCs w:val="44"/>
          <w:highlight w:val="none"/>
          <w:vertAlign w:val="baseli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44"/>
          <w:highlight w:val="none"/>
          <w:vertAlign w:val="baseline"/>
          <w:lang w:val="en-US" w:eastAsia="zh-CN" w:bidi="ar-SA"/>
        </w:rPr>
        <w:t>注：</w:t>
      </w:r>
      <w:r>
        <w:rPr>
          <w:rFonts w:hint="default" w:ascii="Times New Roman" w:hAnsi="Times New Roman" w:cs="Times New Roman"/>
          <w:color w:val="auto"/>
          <w:kern w:val="0"/>
          <w:sz w:val="21"/>
          <w:szCs w:val="44"/>
          <w:highlight w:val="none"/>
          <w:vertAlign w:val="baseline"/>
          <w:lang w:val="en-US" w:eastAsia="zh-CN" w:bidi="ar-SA"/>
        </w:rPr>
        <w:t>①</w:t>
      </w:r>
      <w:r>
        <w:rPr>
          <w:rFonts w:hint="default" w:ascii="Times New Roman" w:hAnsi="Times New Roman" w:eastAsia="宋体" w:cs="Times New Roman"/>
          <w:color w:val="auto"/>
          <w:kern w:val="0"/>
          <w:sz w:val="21"/>
          <w:szCs w:val="44"/>
          <w:highlight w:val="none"/>
          <w:vertAlign w:val="baseline"/>
          <w:lang w:val="en-US" w:eastAsia="zh-CN" w:bidi="ar-SA"/>
        </w:rPr>
        <w:t>利废企业指开展工业固体废物资源综合利用的企业，产废企业指产生工业固体废物的企业</w:t>
      </w:r>
    </w:p>
    <w:p w14:paraId="4A87044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70812"/>
    <w:rsid w:val="07D70812"/>
    <w:rsid w:val="6C6C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表格 内容"/>
    <w:basedOn w:val="1"/>
    <w:autoRedefine/>
    <w:qFormat/>
    <w:uiPriority w:val="0"/>
    <w:pPr>
      <w:autoSpaceDE w:val="0"/>
      <w:autoSpaceDN w:val="0"/>
      <w:adjustRightInd w:val="0"/>
      <w:spacing w:line="240" w:lineRule="auto"/>
      <w:ind w:firstLine="0" w:firstLineChars="0"/>
      <w:jc w:val="center"/>
    </w:pPr>
    <w:rPr>
      <w:kern w:val="0"/>
      <w:sz w:val="21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199</Characters>
  <Lines>0</Lines>
  <Paragraphs>0</Paragraphs>
  <TotalTime>0</TotalTime>
  <ScaleCrop>false</ScaleCrop>
  <LinksUpToDate>false</LinksUpToDate>
  <CharactersWithSpaces>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2026-10-29T08:36:00Z</dcterms:created>
  <dc:creator>张钧凯</dc:creator>
  <cp:lastModifiedBy>王小丹</cp:lastModifiedBy>
  <dcterms:modified xsi:type="dcterms:W3CDTF">2026-10-30T03:44:09Z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D15E3C00A2A34F998B101D5ABDF8678C_11</vt:lpwstr>
  </property>
  <property fmtid="{D5CDD505-2E9C-101B-9397-08002B2CF9AE}" pid="4" name="KSOTemplateDocerSaveRecord">
    <vt:lpwstr>eyJoZGlkIjoiODRlMzI4NmIwZjQyZjFmOGNjMjljZDhlMTA3ZWUwZjYiLCJ1c2VySWQiOiI0NjI2NzUzODQifQ==</vt:lpwstr>
  </property>
</Properties>
</file>